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3.0 -->
  <w:body>
    <w:tbl>
      <w:tblPr>
        <w:tblStyle w:val="TableGrid"/>
        <w:tblW w:w="11016" w:type="dxa"/>
        <w:tblInd w:w="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325"/>
        <w:gridCol w:w="2691"/>
      </w:tblGrid>
      <w:tr>
        <w:tblPrEx>
          <w:tblW w:w="11016" w:type="dxa"/>
          <w:tblInd w:w="0" w:type="dxa"/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8325" w:type="dxa"/>
            <w:vAlign w:val="center"/>
          </w:tcPr>
          <w:p>
            <w:pPr>
              <w:bidi w:val="0"/>
              <w:spacing w:before="80" w:after="80"/>
              <w:ind w:left="100"/>
              <w:rPr>
                <w:rFonts w:ascii="Arial" w:eastAsia="Times New Roman" w:hAnsi="Arial" w:cs="Times New Roman"/>
                <w:b/>
                <w:sz w:val="24"/>
                <w:szCs w:val="22"/>
                <w:lang w:val="en-US" w:eastAsia="en-US" w:bidi="en-US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es-ES_tradnl" w:eastAsia="en-US" w:bidi="en-US"/>
              </w:rPr>
              <w:t>Pautas de requisitos de presentación de solicitudes de permisos</w:t>
            </w:r>
          </w:p>
          <w:p>
            <w:pPr>
              <w:bidi w:val="0"/>
              <w:spacing w:before="80" w:after="80"/>
              <w:ind w:left="100"/>
              <w:rPr>
                <w:rFonts w:ascii="Arial" w:eastAsia="Times New Roman" w:hAnsi="Arial" w:cs="Times New Roman"/>
                <w:b/>
                <w:sz w:val="24"/>
                <w:szCs w:val="22"/>
                <w:lang w:val="en-IN" w:eastAsia="en-US" w:bidi="en-US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es-ES_tradnl" w:eastAsia="en-US" w:bidi="en-US"/>
              </w:rPr>
              <w:t>Cerca</w:t>
            </w:r>
          </w:p>
        </w:tc>
        <w:tc>
          <w:tcPr>
            <w:tcW w:w="2691" w:type="dxa"/>
            <w:vAlign w:val="center"/>
          </w:tcPr>
          <w:p>
            <w:pPr>
              <w:bidi w:val="0"/>
              <w:spacing w:before="80" w:after="80"/>
              <w:jc w:val="center"/>
              <w:rPr>
                <w:rFonts w:ascii="Arial" w:eastAsia="Times New Roman" w:hAnsi="Arial" w:cs="Times New Roman"/>
                <w:b/>
                <w:sz w:val="24"/>
                <w:szCs w:val="22"/>
                <w:lang w:val="en-US" w:eastAsia="en-US" w:bidi="en-US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36"/>
                <w:szCs w:val="3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es-ES_tradnl" w:eastAsia="en-US" w:bidi="en-US"/>
              </w:rPr>
              <w:t>2019-002</w:t>
            </w:r>
          </w:p>
        </w:tc>
      </w:tr>
    </w:tbl>
    <w:p>
      <w:pPr>
        <w:pStyle w:val="BodyText"/>
        <w:spacing w:before="0"/>
        <w:ind w:left="0" w:firstLine="0"/>
        <w:rPr>
          <w:rFonts w:ascii="Arial" w:hAnsi="Arial"/>
          <w:sz w:val="3"/>
        </w:rPr>
      </w:pPr>
    </w:p>
    <w:p>
      <w:pPr>
        <w:bidi w:val="0"/>
        <w:spacing w:before="200" w:after="200"/>
        <w:rPr>
          <w:rFonts w:ascii="Arial" w:hAnsi="Arial"/>
          <w:sz w:val="18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Esta lista de verificación proporciona orientación para los requisitos de presentación de documentos para las solicitudes que pertenecen a la cerca.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Las cercas se abordan en la Sección 3112 de los códigos de construcción.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Las cercas pueden ser cercas para fiestas u otras cercas, como cercas que colindan con calles, cercas que colindan con callejones, cercas cercanas a las líneas compartidas y cercas ubicadas en el interior del lote.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El código proporciona orientación para cada tipo de cerca.</w:t>
      </w:r>
    </w:p>
    <w:p>
      <w:pPr>
        <w:bidi w:val="0"/>
        <w:spacing w:before="200" w:after="200"/>
        <w:rPr>
          <w:rFonts w:ascii="Arial" w:hAnsi="Arial"/>
          <w:sz w:val="18"/>
        </w:rPr>
      </w:pP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Se requieren revisiones de disciplina: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Arial" w:eastAsia="Arial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Revisión estructural, zonificación [consulte 3112.1.4 cuando sea necesario], DDOT, DOEE.</w:t>
      </w:r>
    </w:p>
    <w:p>
      <w:pPr>
        <w:bidi w:val="0"/>
        <w:spacing w:before="100"/>
        <w:rPr>
          <w:b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Asunto: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Edición 2012 del Código Internacional de Construcción con sus enmiendas DCMR12A.</w:t>
      </w:r>
    </w:p>
    <w:p>
      <w:pPr>
        <w:pBdr>
          <w:bottom w:val="single" w:sz="4" w:space="1" w:color="auto"/>
        </w:pBdr>
        <w:rPr>
          <w:b/>
          <w:sz w:val="12"/>
        </w:rPr>
      </w:pPr>
    </w:p>
    <w:p>
      <w:pPr>
        <w:pStyle w:val="Heading1"/>
        <w:bidi w:val="0"/>
        <w:spacing w:before="0"/>
        <w:ind w:left="720" w:firstLine="0"/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DCMR 12A</w:t>
      </w:r>
    </w:p>
    <w:p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bidi w:val="0"/>
        <w:spacing w:before="0"/>
        <w:ind w:left="1440"/>
        <w:rPr>
          <w:b/>
          <w:sz w:val="20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[Trabajo exento del permiso DCBC 105.2]– La reparación en el tipo de permiso existente está exenta en el punto 4.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Las exenciones de permisos no se aplican en distritos históricos o edificios designados.</w:t>
      </w:r>
    </w:p>
    <w:p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bidi w:val="0"/>
        <w:spacing w:before="0"/>
        <w:ind w:left="1440"/>
        <w:rPr>
          <w:b/>
          <w:sz w:val="20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[DCBC 3112.1.4] la solicitud estará acompañada de una plataforma de construcción oficial en la que se indique la ubicación de la cerca propuesta.</w:t>
      </w:r>
    </w:p>
    <w:p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bidi w:val="0"/>
        <w:spacing w:before="0"/>
        <w:ind w:left="1440"/>
        <w:rPr>
          <w:b/>
          <w:sz w:val="20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[DCBC sección 3112.1-3112.4.2] Se aplican a las solicitudes de permisos de cercas</w:t>
      </w:r>
    </w:p>
    <w:p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bidi w:val="0"/>
        <w:spacing w:before="0"/>
        <w:ind w:left="1440"/>
        <w:rPr>
          <w:b/>
          <w:sz w:val="20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[DCBC 3112.2] Cercas de línea compartida: cercas que incluyen zapatas que están parcialmente a cada lado de una línea compartida.</w:t>
      </w:r>
    </w:p>
    <w:p>
      <w:pPr>
        <w:pStyle w:val="ListParagraph"/>
        <w:numPr>
          <w:ilvl w:val="0"/>
          <w:numId w:val="3"/>
        </w:numPr>
        <w:pBdr>
          <w:bottom w:val="single" w:sz="18" w:space="1" w:color="auto"/>
        </w:pBdr>
        <w:tabs>
          <w:tab w:val="left" w:pos="2160"/>
          <w:tab w:val="left" w:pos="2161"/>
        </w:tabs>
        <w:bidi w:val="0"/>
        <w:spacing w:before="0"/>
        <w:ind w:left="1440"/>
        <w:rPr>
          <w:b/>
          <w:sz w:val="20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[ DCBC 3112.1.3] Altura de la cerca: la medición debe realizarse desde la parte superior de la cerca hasta el nivel, en el lado de la cerca donde el nivel es más alto.</w:t>
      </w:r>
    </w:p>
    <w:p>
      <w:pPr>
        <w:bidi w:val="0"/>
        <w:spacing w:before="200" w:after="200"/>
        <w:ind w:left="720"/>
        <w:rPr>
          <w:b/>
          <w:bCs/>
          <w:sz w:val="20"/>
          <w:szCs w:val="20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Pautas</w:t>
      </w:r>
    </w:p>
    <w:p>
      <w:pPr>
        <w:pStyle w:val="BodyText"/>
        <w:bidi w:val="0"/>
        <w:spacing w:before="0"/>
        <w:ind w:left="720" w:firstLine="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Se requieren los siguientes documentos para revisar esta solicitud de permiso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Formulario de solicitud/solicitud en línea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Copia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de la carta de notificación al vecino junto a los vecinos con una copia del comprobante de servicio en forma de recibo de correo certificado, según lo determinado por los registros fiscales de bienes inmuebles del Distrito.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No se requerirá notificación al vecino cuando la solución impermeabilizante se limite a la parte inferior de la losa y por encima de la parte superior de la base y donde no haya edificios contiguos.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Una plataforma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reciente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, no más de 6 meses.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Se indicó la cerca propuesta en la plataforma.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Un detalle de la cerca, que muestra la altura de la cerca, la configuración y el tipo de material, o una copia de la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especificación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del fabricante si se va a utilizar una cerca prefabricada.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Si se propone una cerca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compartida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por encima de los 7 pies, se firmará y archivará un acuerdo entre los propietarios junto con la solicitud de permiso.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Las cercas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que colindan con las calles no deben exceder los 7 pies en Residencia y los 10 pies en uso comercial o mixto.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Las cercas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que colindan con los callejones no deben exceder los 7 pies en Residencia y los 10 pies en uso comercial o mixto.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El funcionario del Código puede aprobar una mayor altura donde el callejón mide 15 pies de ancho o más.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 cerca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ubicada a menos de 10 pies de una línea compartida deberá tener un máximo de 7 pies de altura, a menos que haya un consentimiento por escrito entre los propietarios contiguos.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Las cercas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ubicadas en el interior del lote a más de 10 pies pueden no tener una altura limitada.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[3112.3.4]</w:t>
      </w:r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Las cercas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en el espacio público o en la línea de restricción de edificio requerirán espacio público o permiso DDOT.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Visite </w:t>
      </w:r>
      <w:hyperlink r:id="rId4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es-ES_tradnl" w:eastAsia="en-US" w:bidi="en-US"/>
          </w:rPr>
          <w:t>https://tops.ddot.dc.gov</w:t>
        </w:r>
      </w:hyperlink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para obtener más información.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bidi w:val="0"/>
        <w:spacing w:before="0" w:after="60"/>
        <w:ind w:left="1440"/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>Las cercas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s-ES_tradnl" w:eastAsia="en-US" w:bidi="en-US"/>
        </w:rPr>
        <w:t xml:space="preserve"> en el área histórica requerirán la revisión del Comisión de Revisión de Preservación Histórico (HPRB, por sus siglas en inglés).</w:t>
      </w:r>
    </w:p>
    <w:p>
      <w:pPr>
        <w:rPr>
          <w:rFonts w:ascii="Arial" w:hAnsi="Arial"/>
          <w:sz w:val="2"/>
        </w:rPr>
      </w:pPr>
    </w:p>
    <w:sectPr>
      <w:headerReference w:type="default" r:id="rId5"/>
      <w:footerReference w:type="default" r:id="rId6"/>
      <w:type w:val="continuous"/>
      <w:pgSz w:w="12240" w:h="15840" w:code="1"/>
      <w:pgMar w:top="2160" w:right="720" w:bottom="1800" w:left="720" w:header="360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667" w:type="pct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/>
    </w:tblPr>
    <w:tblGrid>
      <w:gridCol w:w="12241"/>
    </w:tblGrid>
    <w:tr>
      <w:tblPrEx>
        <w:tblW w:w="5667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Ex>
      <w:tc>
        <w:tcPr>
          <w:tcW w:w="5000" w:type="pct"/>
          <w:shd w:val="clear" w:color="auto" w:fill="CC3300"/>
        </w:tcPr>
        <w:p>
          <w:pPr>
            <w:rPr>
              <w:rFonts w:ascii="Arial" w:eastAsia="Times New Roman" w:hAnsi="Arial" w:cs="Times New Roman"/>
              <w:sz w:val="20"/>
              <w:szCs w:val="22"/>
              <w:lang w:val="en-US" w:eastAsia="en-US" w:bidi="en-US"/>
            </w:rPr>
          </w:pPr>
        </w:p>
      </w:tc>
    </w:tr>
    <w:tr>
      <w:tblPrEx>
        <w:tblW w:w="5667" w:type="pct"/>
        <w:tblInd w:w="-72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Ex>
      <w:tc>
        <w:tcPr>
          <w:tcW w:w="5000" w:type="pct"/>
          <w:shd w:val="clear" w:color="auto" w:fill="1F497D" w:themeFill="text2"/>
        </w:tcPr>
        <w:p>
          <w:pPr>
            <w:bidi w:val="0"/>
            <w:spacing w:before="400" w:after="400"/>
            <w:jc w:val="center"/>
            <w:rPr>
              <w:rFonts w:ascii="Arial" w:eastAsia="Times New Roman" w:hAnsi="Arial" w:cs="Times New Roman"/>
              <w:color w:val="FFFFFF" w:themeColor="background1"/>
              <w:sz w:val="24"/>
              <w:szCs w:val="22"/>
              <w:lang w:val="en-US" w:eastAsia="en-US" w:bidi="en-US"/>
            </w:rPr>
          </w:pPr>
          <w:r>
            <w:rPr>
              <w:rStyle w:val="DefaultParagraphFont"/>
              <w:rFonts w:ascii="Arial" w:eastAsia="Arial" w:hAnsi="Arial" w:cs="Times New Roman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outline w:val="0"/>
              <w:shadow w:val="0"/>
              <w:emboss w:val="0"/>
              <w:imprint w:val="0"/>
              <w:noProof w:val="0"/>
              <w:vanish w:val="0"/>
              <w:color w:val="FFFFFF"/>
              <w:spacing w:val="0"/>
              <w:w w:val="100"/>
              <w:kern w:val="0"/>
              <w:position w:val="0"/>
              <w:sz w:val="24"/>
              <w:szCs w:val="24"/>
              <w:highlight w:val="none"/>
              <w:u w:val="none" w:color="auto"/>
              <w:bdr w:val="none" w:sz="0" w:space="0" w:color="auto"/>
              <w:shd w:val="clear" w:color="auto" w:fill="auto"/>
              <w:vertAlign w:val="baseline"/>
              <w:rtl w:val="0"/>
              <w:cs w:val="0"/>
              <w:lang w:val="es-ES_tradnl" w:eastAsia="en-US" w:bidi="en-US"/>
            </w:rPr>
            <w:t>1100 4th Street SW, Washington, DC 20024 | 202.442.4400 | dcra.dc.gov</w:t>
          </w:r>
        </w:p>
      </w:tc>
    </w:tr>
  </w:tbl>
  <w:p>
    <w:pPr>
      <w:pStyle w:val="Footer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efault"/>
      <w:jc w:val="center"/>
      <w:rPr>
        <w:rFonts w:ascii="Arial" w:hAnsi="Arial" w:cstheme="minorBidi"/>
        <w:color w:val="auto"/>
      </w:rPr>
    </w:pPr>
    <w:r>
      <w:rPr>
        <w:rFonts w:ascii="Arial" w:hAnsi="Arial" w:cstheme="minorBidi"/>
        <w:noProof/>
        <w:color w:val="auto"/>
        <w:lang w:eastAsia="en-IN"/>
      </w:rPr>
      <w:drawing>
        <wp:inline distT="0" distB="0" distL="0" distR="0">
          <wp:extent cx="1828800" cy="723352"/>
          <wp:effectExtent l="0" t="0" r="0" b="63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3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Default"/>
      <w:bidi w:val="0"/>
      <w:jc w:val="center"/>
      <w:rPr>
        <w:rFonts w:ascii="Arial" w:hAnsi="Arial" w:cstheme="minorBidi"/>
        <w:color w:val="auto"/>
        <w:sz w:val="20"/>
        <w:szCs w:val="20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0"/>
        <w:szCs w:val="20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es-ES_tradnl" w:eastAsia="en-US" w:bidi="ar-SA"/>
      </w:rPr>
      <w:t>Gobierno del Distrito de Columbia</w:t>
    </w:r>
  </w:p>
  <w:p>
    <w:pPr>
      <w:pStyle w:val="Header"/>
      <w:bidi w:val="0"/>
      <w:spacing w:after="200"/>
      <w:jc w:val="center"/>
      <w:rPr>
        <w:rFonts w:ascii="Arial" w:hAnsi="Arial" w:cstheme="minorBidi"/>
        <w:sz w:val="23"/>
        <w:szCs w:val="23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3"/>
        <w:szCs w:val="23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es-ES_tradnl" w:eastAsia="en-US" w:bidi="en-US"/>
      </w:rPr>
      <w:t>Department of Consumer and Regulatory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F1791"/>
    <w:multiLevelType w:val="hybridMultilevel"/>
    <w:tmpl w:val="8E8ADE0C"/>
    <w:lvl w:ilvl="0">
      <w:start w:val="0"/>
      <w:numFmt w:val="bullet"/>
      <w:lvlText w:val="□"/>
      <w:lvlJc w:val="left"/>
      <w:pPr>
        <w:ind w:left="107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16782D18"/>
    <w:multiLevelType w:val="hybridMultilevel"/>
    <w:tmpl w:val="6052910E"/>
    <w:lvl w:ilvl="0">
      <w:start w:val="0"/>
      <w:numFmt w:val="bullet"/>
      <w:lvlText w:val="□"/>
      <w:lvlJc w:val="left"/>
      <w:pPr>
        <w:ind w:left="153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56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en-US"/>
      </w:rPr>
    </w:lvl>
  </w:abstractNum>
  <w:abstractNum w:abstractNumId="2">
    <w:nsid w:val="31D86EFF"/>
    <w:multiLevelType w:val="hybridMultilevel"/>
    <w:tmpl w:val="EBA84A2E"/>
    <w:lvl w:ilvl="0">
      <w:start w:val="0"/>
      <w:numFmt w:val="bullet"/>
      <w:lvlText w:val="□"/>
      <w:lvlJc w:val="left"/>
      <w:pPr>
        <w:ind w:left="21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en-US"/>
      </w:rPr>
    </w:lvl>
  </w:abstractNum>
  <w:abstractNum w:abstractNumId="3">
    <w:nsid w:val="491A368D"/>
    <w:multiLevelType w:val="hybridMultilevel"/>
    <w:tmpl w:val="ECD2FDE2"/>
    <w:lvl w:ilvl="0">
      <w:start w:val="0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B2860F-C7F9-4E98-902C-33A67F78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33"/>
      <w:ind w:left="2160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537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"/>
      <w:ind w:left="21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tops.ddot.dc.go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Shannon Higley</cp:lastModifiedBy>
  <cp:revision>41</cp:revision>
  <cp:lastPrinted>2024-08-01T09:07:00Z</cp:lastPrinted>
  <dcterms:created xsi:type="dcterms:W3CDTF">2024-08-01T08:41:00Z</dcterms:created>
  <dcterms:modified xsi:type="dcterms:W3CDTF">2024-08-01T14:10:00Z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</Properties>
</file>