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49CF" w14:textId="77777777" w:rsidR="00AC7988" w:rsidRDefault="00F207D8">
      <w:pPr>
        <w:spacing w:line="219" w:lineRule="exact"/>
        <w:ind w:left="691" w:right="325"/>
        <w:jc w:val="center"/>
        <w:rPr>
          <w:color w:val="161616"/>
          <w:sz w:val="21"/>
        </w:rPr>
      </w:pPr>
      <w:r>
        <w:rPr>
          <w:noProof/>
          <w:color w:val="161616"/>
          <w:sz w:val="21"/>
        </w:rPr>
        <w:drawing>
          <wp:anchor distT="0" distB="0" distL="114300" distR="114300" simplePos="0" relativeHeight="251664384" behindDoc="0" locked="0" layoutInCell="1" allowOverlap="1" wp14:anchorId="333B557D" wp14:editId="064B5DAD">
            <wp:simplePos x="0" y="0"/>
            <wp:positionH relativeFrom="column">
              <wp:posOffset>3009900</wp:posOffset>
            </wp:positionH>
            <wp:positionV relativeFrom="paragraph">
              <wp:posOffset>-130175</wp:posOffset>
            </wp:positionV>
            <wp:extent cx="1619476" cy="609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1619476" cy="609685"/>
                    </a:xfrm>
                    <a:prstGeom prst="rect">
                      <a:avLst/>
                    </a:prstGeom>
                  </pic:spPr>
                </pic:pic>
              </a:graphicData>
            </a:graphic>
            <wp14:sizeRelH relativeFrom="page">
              <wp14:pctWidth>0</wp14:pctWidth>
            </wp14:sizeRelH>
            <wp14:sizeRelV relativeFrom="page">
              <wp14:pctHeight>0</wp14:pctHeight>
            </wp14:sizeRelV>
          </wp:anchor>
        </w:drawing>
      </w:r>
    </w:p>
    <w:p w14:paraId="4596720D" w14:textId="77777777" w:rsidR="00AC7988" w:rsidRDefault="00AC7988">
      <w:pPr>
        <w:spacing w:line="219" w:lineRule="exact"/>
        <w:ind w:left="691" w:right="325"/>
        <w:jc w:val="center"/>
        <w:rPr>
          <w:color w:val="161616"/>
          <w:sz w:val="21"/>
        </w:rPr>
      </w:pPr>
    </w:p>
    <w:p w14:paraId="37A22D45" w14:textId="77777777" w:rsidR="00AC7988" w:rsidRDefault="00AC7988">
      <w:pPr>
        <w:spacing w:line="219" w:lineRule="exact"/>
        <w:ind w:left="691" w:right="325"/>
        <w:jc w:val="center"/>
        <w:rPr>
          <w:color w:val="161616"/>
          <w:sz w:val="21"/>
        </w:rPr>
      </w:pPr>
    </w:p>
    <w:p w14:paraId="63AF9405" w14:textId="77777777" w:rsidR="00AC7988" w:rsidRDefault="00AC7988">
      <w:pPr>
        <w:spacing w:line="219" w:lineRule="exact"/>
        <w:ind w:left="691" w:right="325"/>
        <w:jc w:val="center"/>
        <w:rPr>
          <w:color w:val="161616"/>
          <w:sz w:val="21"/>
        </w:rPr>
      </w:pPr>
    </w:p>
    <w:p w14:paraId="61CE697E" w14:textId="77777777" w:rsidR="00AC7988" w:rsidRDefault="00F207D8">
      <w:pPr>
        <w:spacing w:line="219" w:lineRule="exact"/>
        <w:ind w:left="691" w:right="325"/>
        <w:jc w:val="center"/>
        <w:rPr>
          <w:sz w:val="21"/>
        </w:rPr>
      </w:pPr>
      <w:r>
        <w:rPr>
          <w:color w:val="161616"/>
          <w:sz w:val="21"/>
          <w:szCs w:val="21"/>
          <w:lang w:val="es-ES_tradnl"/>
        </w:rPr>
        <w:t>Gobierno del Distrito de Columbia</w:t>
      </w:r>
    </w:p>
    <w:p w14:paraId="46B1F345" w14:textId="77777777" w:rsidR="00AC7988" w:rsidRDefault="00F207D8">
      <w:pPr>
        <w:spacing w:before="19"/>
        <w:ind w:left="683" w:right="325"/>
        <w:jc w:val="center"/>
        <w:rPr>
          <w:sz w:val="24"/>
        </w:rPr>
      </w:pPr>
      <w:proofErr w:type="spellStart"/>
      <w:r>
        <w:rPr>
          <w:color w:val="161616"/>
          <w:sz w:val="24"/>
          <w:szCs w:val="24"/>
          <w:lang w:val="es-ES_tradnl"/>
        </w:rPr>
        <w:t>Department</w:t>
      </w:r>
      <w:proofErr w:type="spellEnd"/>
      <w:r>
        <w:rPr>
          <w:color w:val="161616"/>
          <w:sz w:val="24"/>
          <w:szCs w:val="24"/>
          <w:lang w:val="es-ES_tradnl"/>
        </w:rPr>
        <w:t xml:space="preserve"> of </w:t>
      </w:r>
      <w:proofErr w:type="spellStart"/>
      <w:r>
        <w:rPr>
          <w:color w:val="161616"/>
          <w:sz w:val="24"/>
          <w:szCs w:val="24"/>
          <w:lang w:val="es-ES_tradnl"/>
        </w:rPr>
        <w:t>Consumer</w:t>
      </w:r>
      <w:proofErr w:type="spellEnd"/>
      <w:r>
        <w:rPr>
          <w:color w:val="161616"/>
          <w:sz w:val="24"/>
          <w:szCs w:val="24"/>
          <w:lang w:val="es-ES_tradnl"/>
        </w:rPr>
        <w:t xml:space="preserve"> and </w:t>
      </w:r>
      <w:proofErr w:type="spellStart"/>
      <w:r>
        <w:rPr>
          <w:color w:val="161616"/>
          <w:sz w:val="24"/>
          <w:szCs w:val="24"/>
          <w:lang w:val="es-ES_tradnl"/>
        </w:rPr>
        <w:t>Regulatory</w:t>
      </w:r>
      <w:proofErr w:type="spellEnd"/>
      <w:r>
        <w:rPr>
          <w:color w:val="161616"/>
          <w:sz w:val="24"/>
          <w:szCs w:val="24"/>
          <w:lang w:val="es-ES_tradnl"/>
        </w:rPr>
        <w:t xml:space="preserve"> </w:t>
      </w:r>
      <w:proofErr w:type="spellStart"/>
      <w:r>
        <w:rPr>
          <w:color w:val="161616"/>
          <w:sz w:val="24"/>
          <w:szCs w:val="24"/>
          <w:lang w:val="es-ES_tradnl"/>
        </w:rPr>
        <w:t>Affairs</w:t>
      </w:r>
      <w:proofErr w:type="spellEnd"/>
    </w:p>
    <w:p w14:paraId="33CE7882" w14:textId="77777777" w:rsidR="00AC7988" w:rsidRDefault="00F207D8">
      <w:pPr>
        <w:pStyle w:val="BodyText"/>
        <w:spacing w:before="99"/>
        <w:jc w:val="left"/>
      </w:pPr>
      <w:r>
        <w:rPr>
          <w:noProof/>
        </w:rPr>
        <mc:AlternateContent>
          <mc:Choice Requires="wps">
            <w:drawing>
              <wp:anchor distT="0" distB="0" distL="0" distR="0" simplePos="0" relativeHeight="251660288" behindDoc="1" locked="0" layoutInCell="1" allowOverlap="1" wp14:anchorId="14557158" wp14:editId="2CE9F8FD">
                <wp:simplePos x="0" y="0"/>
                <wp:positionH relativeFrom="page">
                  <wp:posOffset>430779</wp:posOffset>
                </wp:positionH>
                <wp:positionV relativeFrom="paragraph">
                  <wp:posOffset>224237</wp:posOffset>
                </wp:positionV>
                <wp:extent cx="6938645"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6938645" cy="1270"/>
                        </a:xfrm>
                        <a:custGeom>
                          <a:avLst/>
                          <a:gdLst/>
                          <a:ahLst/>
                          <a:cxnLst/>
                          <a:rect l="l" t="t" r="r" b="b"/>
                          <a:pathLst>
                            <a:path w="6938645">
                              <a:moveTo>
                                <a:pt x="0" y="0"/>
                              </a:moveTo>
                              <a:lnTo>
                                <a:pt x="6938295" y="0"/>
                              </a:lnTo>
                            </a:path>
                          </a:pathLst>
                        </a:custGeom>
                        <a:ln w="18321">
                          <a:solidFill>
                            <a:srgbClr val="000000"/>
                          </a:solidFill>
                          <a:prstDash val="solid"/>
                        </a:ln>
                      </wps:spPr>
                      <wps:bodyPr wrap="square" lIns="0" tIns="0" rIns="0" bIns="0" rtlCol="0">
                        <a:prstTxWarp prst="textNoShape">
                          <a:avLst/>
                        </a:prstTxWarp>
                      </wps:bodyPr>
                    </wps:wsp>
                  </a:graphicData>
                </a:graphic>
              </wp:anchor>
            </w:drawing>
          </mc:Choice>
          <mc:Fallback>
            <w:pict>
              <v:shape w14:anchorId="5077962E" id="Graphic 1" o:spid="_x0000_s1026" style="position:absolute;margin-left:33.9pt;margin-top:17.65pt;width:546.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93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" path="m,l6938295,e" filled="f" strokeweight=".50892mm">
                <v:path arrowok="t"/>
                <w10:wrap type="topAndBottom" anchorx="page"/>
              </v:shape>
            </w:pict>
          </mc:Fallback>
        </mc:AlternateContent>
      </w:r>
    </w:p>
    <w:p w14:paraId="12F1CFEC" w14:textId="77777777" w:rsidR="00AC7988" w:rsidRDefault="00F207D8">
      <w:pPr>
        <w:spacing w:before="72" w:line="197" w:lineRule="exact"/>
        <w:ind w:left="480"/>
        <w:jc w:val="both"/>
        <w:rPr>
          <w:b/>
          <w:sz w:val="23"/>
        </w:rPr>
      </w:pPr>
      <w:r>
        <w:rPr>
          <w:b/>
          <w:bCs/>
          <w:color w:val="161616"/>
          <w:sz w:val="23"/>
          <w:szCs w:val="23"/>
          <w:lang w:val="es-ES_tradnl"/>
        </w:rPr>
        <w:t>Interpretación del documento de reglamentaciones</w:t>
      </w:r>
    </w:p>
    <w:p w14:paraId="61C24927" w14:textId="77777777" w:rsidR="00AC7988" w:rsidRDefault="00F207D8">
      <w:pPr>
        <w:tabs>
          <w:tab w:val="right" w:pos="11272"/>
        </w:tabs>
        <w:spacing w:line="460" w:lineRule="exact"/>
        <w:ind w:left="481"/>
        <w:jc w:val="both"/>
        <w:rPr>
          <w:b/>
          <w:sz w:val="35"/>
        </w:rPr>
      </w:pPr>
      <w:r>
        <w:rPr>
          <w:noProof/>
        </w:rPr>
        <mc:AlternateContent>
          <mc:Choice Requires="wps">
            <w:drawing>
              <wp:anchor distT="0" distB="0" distL="0" distR="0" simplePos="0" relativeHeight="251658240" behindDoc="0" locked="0" layoutInCell="1" allowOverlap="1" wp14:anchorId="2701C858" wp14:editId="0A6FA7EC">
                <wp:simplePos x="0" y="0"/>
                <wp:positionH relativeFrom="page">
                  <wp:posOffset>426196</wp:posOffset>
                </wp:positionH>
                <wp:positionV relativeFrom="paragraph">
                  <wp:posOffset>314630</wp:posOffset>
                </wp:positionV>
                <wp:extent cx="6924675" cy="1270"/>
                <wp:effectExtent l="0" t="0" r="0" b="0"/>
                <wp:wrapNone/>
                <wp:docPr id="2" name="Graphic 2"/>
                <wp:cNvGraphicFramePr/>
                <a:graphic xmlns:a="http://schemas.openxmlformats.org/drawingml/2006/main">
                  <a:graphicData uri="http://schemas.microsoft.com/office/word/2010/wordprocessingShape">
                    <wps:wsp>
                      <wps:cNvSpPr/>
                      <wps:spPr>
                        <a:xfrm>
                          <a:off x="0" y="0"/>
                          <a:ext cx="6924675" cy="1270"/>
                        </a:xfrm>
                        <a:custGeom>
                          <a:avLst/>
                          <a:gdLst/>
                          <a:ahLst/>
                          <a:cxnLst/>
                          <a:rect l="l" t="t" r="r" b="b"/>
                          <a:pathLst>
                            <a:path w="6924675">
                              <a:moveTo>
                                <a:pt x="0" y="0"/>
                              </a:moveTo>
                              <a:lnTo>
                                <a:pt x="6924546" y="0"/>
                              </a:lnTo>
                            </a:path>
                          </a:pathLst>
                        </a:custGeom>
                        <a:ln w="18321">
                          <a:solidFill>
                            <a:srgbClr val="000000"/>
                          </a:solidFill>
                          <a:prstDash val="solid"/>
                        </a:ln>
                      </wps:spPr>
                      <wps:bodyPr wrap="square" lIns="0" tIns="0" rIns="0" bIns="0" rtlCol="0">
                        <a:prstTxWarp prst="textNoShape">
                          <a:avLst/>
                        </a:prstTxWarp>
                      </wps:bodyPr>
                    </wps:wsp>
                  </a:graphicData>
                </a:graphic>
              </wp:anchor>
            </w:drawing>
          </mc:Choice>
          <mc:Fallback>
            <w:pict>
              <v:shape w14:anchorId="0B6869D2" id="Graphic 2" o:spid="_x0000_s1026" style="position:absolute;margin-left:33.55pt;margin-top:24.75pt;width:545.2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924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" path="m,l6924546,e" filled="f" strokeweight=".50892mm">
                <v:path arrowok="t"/>
                <w10:wrap anchorx="page"/>
              </v:shape>
            </w:pict>
          </mc:Fallback>
        </mc:AlternateContent>
      </w:r>
      <w:r>
        <w:rPr>
          <w:color w:val="161616"/>
          <w:sz w:val="28"/>
          <w:szCs w:val="28"/>
          <w:lang w:val="es-ES_tradnl"/>
        </w:rPr>
        <w:t xml:space="preserve">Retiro de ascensores para servicio de bomberos </w:t>
      </w:r>
      <w:r>
        <w:rPr>
          <w:color w:val="161616"/>
          <w:sz w:val="28"/>
          <w:szCs w:val="28"/>
          <w:lang w:val="es-ES_tradnl"/>
        </w:rPr>
        <w:tab/>
      </w:r>
      <w:r>
        <w:rPr>
          <w:b/>
          <w:bCs/>
          <w:color w:val="161616"/>
          <w:sz w:val="35"/>
          <w:szCs w:val="35"/>
          <w:lang w:val="es-ES_tradnl"/>
        </w:rPr>
        <w:t>20</w:t>
      </w:r>
      <w:r>
        <w:rPr>
          <w:b/>
          <w:bCs/>
          <w:color w:val="363636"/>
          <w:sz w:val="35"/>
          <w:szCs w:val="35"/>
          <w:lang w:val="es-ES_tradnl"/>
        </w:rPr>
        <w:t>1</w:t>
      </w:r>
      <w:r>
        <w:rPr>
          <w:b/>
          <w:bCs/>
          <w:color w:val="161616"/>
          <w:sz w:val="35"/>
          <w:szCs w:val="35"/>
          <w:lang w:val="es-ES_tradnl"/>
        </w:rPr>
        <w:t>8-001</w:t>
      </w:r>
    </w:p>
    <w:p w14:paraId="757D54C0" w14:textId="77777777" w:rsidR="00AC7988" w:rsidRDefault="00F207D8">
      <w:pPr>
        <w:spacing w:before="246"/>
        <w:ind w:left="482"/>
        <w:rPr>
          <w:b/>
          <w:sz w:val="19"/>
        </w:rPr>
      </w:pPr>
      <w:r>
        <w:rPr>
          <w:b/>
          <w:bCs/>
          <w:color w:val="161616"/>
          <w:sz w:val="19"/>
          <w:szCs w:val="19"/>
          <w:lang w:val="es-ES_tradnl"/>
        </w:rPr>
        <w:t>Asunto:</w:t>
      </w:r>
    </w:p>
    <w:p w14:paraId="6429460E" w14:textId="77777777" w:rsidR="00AC7988" w:rsidRDefault="00F207D8">
      <w:pPr>
        <w:pStyle w:val="ListParagraph"/>
        <w:numPr>
          <w:ilvl w:val="0"/>
          <w:numId w:val="1"/>
        </w:numPr>
        <w:tabs>
          <w:tab w:val="left" w:pos="1201"/>
        </w:tabs>
        <w:spacing w:before="169"/>
        <w:ind w:left="1201" w:hanging="362"/>
        <w:rPr>
          <w:color w:val="262626"/>
          <w:sz w:val="20"/>
        </w:rPr>
      </w:pPr>
      <w:r>
        <w:rPr>
          <w:color w:val="161616"/>
          <w:sz w:val="20"/>
          <w:szCs w:val="20"/>
          <w:lang w:val="es-ES_tradnl"/>
        </w:rPr>
        <w:t>NFPA 72 Código Nacional de Alarmas contra Incendios 2002</w:t>
      </w:r>
      <w:r>
        <w:rPr>
          <w:color w:val="363636"/>
          <w:sz w:val="20"/>
          <w:szCs w:val="20"/>
          <w:lang w:val="es-ES_tradnl"/>
        </w:rPr>
        <w:t xml:space="preserve">; </w:t>
      </w:r>
      <w:r>
        <w:rPr>
          <w:color w:val="161616"/>
          <w:sz w:val="20"/>
          <w:szCs w:val="20"/>
          <w:lang w:val="es-ES_tradnl"/>
        </w:rPr>
        <w:t>Sección 6. 15.3 y Sección 21.3</w:t>
      </w:r>
    </w:p>
    <w:p w14:paraId="1E716E1D" w14:textId="33F712D2" w:rsidR="00AC7988" w:rsidRDefault="00F207D8" w:rsidP="00F207D8">
      <w:pPr>
        <w:pStyle w:val="ListParagraph"/>
        <w:numPr>
          <w:ilvl w:val="0"/>
          <w:numId w:val="1"/>
        </w:numPr>
        <w:tabs>
          <w:tab w:val="left" w:pos="1192"/>
          <w:tab w:val="left" w:pos="1200"/>
        </w:tabs>
        <w:spacing w:before="109" w:after="60" w:line="266" w:lineRule="auto"/>
        <w:ind w:left="1195" w:right="158" w:hanging="360"/>
        <w:rPr>
          <w:color w:val="161616"/>
          <w:sz w:val="20"/>
        </w:rPr>
      </w:pPr>
      <w:r>
        <w:rPr>
          <w:color w:val="161616"/>
          <w:sz w:val="20"/>
          <w:szCs w:val="20"/>
          <w:lang w:val="es-ES_tradnl"/>
        </w:rPr>
        <w:t>Los cambios en el Código Nacional de Alarmas contra Incendios de la Asociación Nacional de Protección contra Incendios (NFPA 72</w:t>
      </w:r>
      <w:r>
        <w:rPr>
          <w:color w:val="161616"/>
          <w:sz w:val="20"/>
          <w:szCs w:val="20"/>
          <w:lang w:val="es-ES_tradnl"/>
        </w:rPr>
        <w:t>), Edición 2002, Sección 6.15.3 Llamado del ascensor para el servicio de bomberos, vigentes durante el año del código anterior, han producido, para el año del código actual, NFPA 72, Edición 2010, Sección </w:t>
      </w:r>
      <w:r>
        <w:rPr>
          <w:color w:val="161616"/>
          <w:sz w:val="20"/>
          <w:szCs w:val="20"/>
          <w:lang w:val="es-ES_tradnl"/>
        </w:rPr>
        <w:t>21.3.</w:t>
      </w:r>
    </w:p>
    <w:p w14:paraId="009A1F03" w14:textId="77777777" w:rsidR="00AC7988" w:rsidRPr="00F207D8" w:rsidRDefault="00F207D8" w:rsidP="00F207D8">
      <w:pPr>
        <w:pStyle w:val="ListParagraph"/>
        <w:numPr>
          <w:ilvl w:val="0"/>
          <w:numId w:val="1"/>
        </w:numPr>
        <w:tabs>
          <w:tab w:val="left" w:pos="1195"/>
        </w:tabs>
        <w:spacing w:before="85" w:line="222" w:lineRule="exact"/>
        <w:ind w:left="1195" w:right="173" w:hanging="360"/>
        <w:rPr>
          <w:color w:val="161616"/>
          <w:spacing w:val="-2"/>
          <w:sz w:val="20"/>
        </w:rPr>
      </w:pPr>
      <w:r w:rsidRPr="00F207D8">
        <w:rPr>
          <w:color w:val="161616"/>
          <w:spacing w:val="-2"/>
          <w:sz w:val="20"/>
          <w:szCs w:val="20"/>
          <w:lang w:val="es-ES_tradnl"/>
        </w:rPr>
        <w:t xml:space="preserve">2002 NFPA 72 Secc. 6.15.3.3 - A menos que la autoridad competente exija lo contrario, solo se utilizarán detectores de humo del vestíbulo del ascensor, del hueco del ascensor y de la sala de máquinas del ascensor u otra </w:t>
      </w:r>
      <w:r w:rsidRPr="00F207D8">
        <w:rPr>
          <w:color w:val="161616"/>
          <w:spacing w:val="-2"/>
          <w:sz w:val="20"/>
          <w:szCs w:val="20"/>
          <w:lang w:val="es-ES_tradnl"/>
        </w:rPr>
        <w:t>detección automática de incendios permitida por 6.15.3.7 para llamar al ascensor para el servicio de bomberos.</w:t>
      </w:r>
    </w:p>
    <w:p w14:paraId="33A46CB7" w14:textId="77777777" w:rsidR="00AC7988" w:rsidRDefault="00F207D8">
      <w:pPr>
        <w:pStyle w:val="ListParagraph"/>
        <w:numPr>
          <w:ilvl w:val="0"/>
          <w:numId w:val="1"/>
        </w:numPr>
        <w:tabs>
          <w:tab w:val="left" w:pos="1188"/>
          <w:tab w:val="left" w:pos="1195"/>
        </w:tabs>
        <w:spacing w:before="117" w:line="256" w:lineRule="auto"/>
        <w:ind w:left="1188" w:right="180" w:hanging="365"/>
        <w:rPr>
          <w:color w:val="161616"/>
          <w:sz w:val="20"/>
        </w:rPr>
      </w:pPr>
      <w:r>
        <w:rPr>
          <w:color w:val="161616"/>
          <w:sz w:val="20"/>
          <w:szCs w:val="20"/>
          <w:lang w:val="es-ES_tradnl"/>
        </w:rPr>
        <w:tab/>
        <w:t>2002 NFPA 72 Secc. 6.15.3.7 - Si las condiciones ambientales prohíb</w:t>
      </w:r>
      <w:r>
        <w:rPr>
          <w:color w:val="161616"/>
          <w:sz w:val="20"/>
          <w:szCs w:val="20"/>
          <w:lang w:val="es-ES_tradnl"/>
        </w:rPr>
        <w:t>en la instalación de detección automática de humo, se permitirá otra detección automática de incendios.</w:t>
      </w:r>
    </w:p>
    <w:p w14:paraId="45EB6BEB" w14:textId="77777777" w:rsidR="00AC7988" w:rsidRDefault="00F207D8">
      <w:pPr>
        <w:pStyle w:val="ListParagraph"/>
        <w:numPr>
          <w:ilvl w:val="0"/>
          <w:numId w:val="1"/>
        </w:numPr>
        <w:tabs>
          <w:tab w:val="left" w:pos="1176"/>
          <w:tab w:val="left" w:pos="1189"/>
        </w:tabs>
        <w:spacing w:before="106" w:line="266" w:lineRule="auto"/>
        <w:ind w:left="1176" w:right="176" w:hanging="352"/>
        <w:rPr>
          <w:color w:val="262626"/>
          <w:sz w:val="20"/>
        </w:rPr>
      </w:pPr>
      <w:r>
        <w:rPr>
          <w:color w:val="161616"/>
          <w:sz w:val="20"/>
          <w:szCs w:val="20"/>
          <w:lang w:val="es-ES_tradnl"/>
        </w:rPr>
        <w:tab/>
        <w:t>2010 NFPA 72 Secc. 21.3.3 - A menos que la autoridad competente exija lo c</w:t>
      </w:r>
      <w:r>
        <w:rPr>
          <w:color w:val="161616"/>
          <w:sz w:val="20"/>
          <w:szCs w:val="20"/>
          <w:lang w:val="es-ES_tradnl"/>
        </w:rPr>
        <w:t xml:space="preserve">ontrario, solo se utilizarán los detectores de humo del </w:t>
      </w:r>
      <w:r>
        <w:rPr>
          <w:color w:val="262626"/>
          <w:sz w:val="20"/>
          <w:szCs w:val="20"/>
          <w:lang w:val="es-ES_tradnl"/>
        </w:rPr>
        <w:t>vestíbulo del ascensor</w:t>
      </w:r>
      <w:r>
        <w:rPr>
          <w:color w:val="161616"/>
          <w:sz w:val="20"/>
          <w:szCs w:val="20"/>
          <w:lang w:val="es-ES_tradnl"/>
        </w:rPr>
        <w:t>, del hueco del ascensor</w:t>
      </w:r>
      <w:r>
        <w:rPr>
          <w:color w:val="161616"/>
          <w:sz w:val="20"/>
          <w:szCs w:val="20"/>
          <w:lang w:val="es-ES_tradnl"/>
        </w:rPr>
        <w:t xml:space="preserve"> y de la sala de máquinas del ascensor u otra detección automática de incendios permitida por 21.3.7, </w:t>
      </w:r>
      <w:r>
        <w:rPr>
          <w:b/>
          <w:bCs/>
          <w:color w:val="161616"/>
          <w:sz w:val="18"/>
          <w:szCs w:val="18"/>
          <w:lang w:val="es-ES_tradnl"/>
        </w:rPr>
        <w:t>y los dispositivos de inicio usados para iniciar el corte de energía del asce</w:t>
      </w:r>
      <w:r>
        <w:rPr>
          <w:b/>
          <w:bCs/>
          <w:color w:val="161616"/>
          <w:sz w:val="18"/>
          <w:szCs w:val="18"/>
          <w:lang w:val="es-ES_tradnl"/>
        </w:rPr>
        <w:t>nsor de acuerdo con la Sección 21.4,</w:t>
      </w:r>
      <w:r>
        <w:rPr>
          <w:color w:val="161616"/>
          <w:sz w:val="18"/>
          <w:szCs w:val="18"/>
          <w:lang w:val="es-ES_tradnl"/>
        </w:rPr>
        <w:t xml:space="preserve"> </w:t>
      </w:r>
      <w:r>
        <w:rPr>
          <w:color w:val="262626"/>
          <w:sz w:val="20"/>
          <w:szCs w:val="20"/>
          <w:lang w:val="es-ES_tradnl"/>
        </w:rPr>
        <w:t xml:space="preserve">para </w:t>
      </w:r>
      <w:r>
        <w:rPr>
          <w:color w:val="161616"/>
          <w:sz w:val="20"/>
          <w:szCs w:val="20"/>
          <w:lang w:val="es-ES_tradnl"/>
        </w:rPr>
        <w:t xml:space="preserve">llamar al ascensor para el </w:t>
      </w:r>
      <w:r>
        <w:rPr>
          <w:color w:val="262626"/>
          <w:sz w:val="20"/>
          <w:szCs w:val="20"/>
          <w:lang w:val="es-ES_tradnl"/>
        </w:rPr>
        <w:t>servicio de bomberos.</w:t>
      </w:r>
    </w:p>
    <w:p w14:paraId="7397E7A1" w14:textId="77777777" w:rsidR="00AC7988" w:rsidRDefault="00F207D8">
      <w:pPr>
        <w:pStyle w:val="ListParagraph"/>
        <w:numPr>
          <w:ilvl w:val="0"/>
          <w:numId w:val="1"/>
        </w:numPr>
        <w:tabs>
          <w:tab w:val="left" w:pos="1179"/>
        </w:tabs>
        <w:spacing w:line="264" w:lineRule="auto"/>
        <w:ind w:left="1179" w:right="199" w:hanging="363"/>
        <w:rPr>
          <w:color w:val="363636"/>
          <w:sz w:val="20"/>
        </w:rPr>
      </w:pPr>
      <w:r>
        <w:rPr>
          <w:color w:val="161616"/>
          <w:sz w:val="20"/>
          <w:szCs w:val="20"/>
          <w:lang w:val="es-ES_tradnl"/>
        </w:rPr>
        <w:t>2010 NFPA 72 Secc. 21.3</w:t>
      </w:r>
      <w:r>
        <w:rPr>
          <w:color w:val="363636"/>
          <w:sz w:val="20"/>
          <w:szCs w:val="20"/>
          <w:lang w:val="es-ES_tradnl"/>
        </w:rPr>
        <w:t>.</w:t>
      </w:r>
      <w:r>
        <w:rPr>
          <w:color w:val="161616"/>
          <w:sz w:val="20"/>
          <w:szCs w:val="20"/>
          <w:lang w:val="es-ES_tradnl"/>
        </w:rPr>
        <w:t>7 - Si las condiciones ambientales prohíben la instala</w:t>
      </w:r>
      <w:r>
        <w:rPr>
          <w:color w:val="161616"/>
          <w:sz w:val="20"/>
          <w:szCs w:val="20"/>
          <w:lang w:val="es-ES_tradnl"/>
        </w:rPr>
        <w:t xml:space="preserve">ción de </w:t>
      </w:r>
      <w:r>
        <w:rPr>
          <w:color w:val="262626"/>
          <w:sz w:val="20"/>
          <w:szCs w:val="20"/>
          <w:lang w:val="es-ES_tradnl"/>
        </w:rPr>
        <w:t>detección automática de humo</w:t>
      </w:r>
      <w:r>
        <w:rPr>
          <w:color w:val="161616"/>
          <w:sz w:val="20"/>
          <w:szCs w:val="20"/>
          <w:lang w:val="es-ES_tradnl"/>
        </w:rPr>
        <w:t xml:space="preserve">, se </w:t>
      </w:r>
      <w:r>
        <w:rPr>
          <w:color w:val="262626"/>
          <w:sz w:val="20"/>
          <w:szCs w:val="20"/>
          <w:lang w:val="es-ES_tradnl"/>
        </w:rPr>
        <w:t xml:space="preserve">permitirá </w:t>
      </w:r>
      <w:r>
        <w:rPr>
          <w:color w:val="161616"/>
          <w:sz w:val="20"/>
          <w:szCs w:val="20"/>
          <w:lang w:val="es-ES_tradnl"/>
        </w:rPr>
        <w:t>otra detección automática de incendios.</w:t>
      </w:r>
    </w:p>
    <w:p w14:paraId="259DF823" w14:textId="77777777" w:rsidR="00AC7988" w:rsidRDefault="00F207D8">
      <w:pPr>
        <w:pStyle w:val="ListParagraph"/>
        <w:numPr>
          <w:ilvl w:val="0"/>
          <w:numId w:val="1"/>
        </w:numPr>
        <w:tabs>
          <w:tab w:val="left" w:pos="1175"/>
        </w:tabs>
        <w:spacing w:before="92"/>
        <w:ind w:left="1175" w:hanging="358"/>
        <w:rPr>
          <w:color w:val="262626"/>
          <w:sz w:val="20"/>
        </w:rPr>
      </w:pPr>
      <w:r>
        <w:rPr>
          <w:color w:val="161616"/>
          <w:sz w:val="20"/>
          <w:szCs w:val="20"/>
          <w:lang w:val="es-ES_tradnl"/>
        </w:rPr>
        <w:t xml:space="preserve">2010 NFPA 72 Secc. 21.4 </w:t>
      </w:r>
      <w:r>
        <w:rPr>
          <w:color w:val="262626"/>
          <w:sz w:val="20"/>
          <w:szCs w:val="20"/>
          <w:lang w:val="es-ES_tradnl"/>
        </w:rPr>
        <w:t xml:space="preserve">- </w:t>
      </w:r>
      <w:r>
        <w:rPr>
          <w:color w:val="161616"/>
          <w:sz w:val="20"/>
          <w:szCs w:val="20"/>
          <w:lang w:val="es-ES_tradnl"/>
        </w:rPr>
        <w:t>Parada del ascensor</w:t>
      </w:r>
    </w:p>
    <w:p w14:paraId="384518E1" w14:textId="77777777" w:rsidR="00AC7988" w:rsidRDefault="00F207D8">
      <w:pPr>
        <w:pStyle w:val="BodyText"/>
        <w:spacing w:before="50"/>
        <w:jc w:val="left"/>
      </w:pPr>
      <w:r>
        <w:rPr>
          <w:noProof/>
        </w:rPr>
        <mc:AlternateContent>
          <mc:Choice Requires="wps">
            <w:drawing>
              <wp:anchor distT="0" distB="0" distL="0" distR="0" simplePos="0" relativeHeight="251662336" behindDoc="1" locked="0" layoutInCell="1" allowOverlap="1" wp14:anchorId="7889B4F0" wp14:editId="55EF61D5">
                <wp:simplePos x="0" y="0"/>
                <wp:positionH relativeFrom="page">
                  <wp:posOffset>417030</wp:posOffset>
                </wp:positionH>
                <wp:positionV relativeFrom="paragraph">
                  <wp:posOffset>193391</wp:posOffset>
                </wp:positionV>
                <wp:extent cx="6915784"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6915784" cy="1270"/>
                        </a:xfrm>
                        <a:custGeom>
                          <a:avLst/>
                          <a:gdLst/>
                          <a:ahLst/>
                          <a:cxnLst/>
                          <a:rect l="l" t="t" r="r" b="b"/>
                          <a:pathLst>
                            <a:path w="6915784">
                              <a:moveTo>
                                <a:pt x="0" y="0"/>
                              </a:moveTo>
                              <a:lnTo>
                                <a:pt x="6915381" y="0"/>
                              </a:lnTo>
                            </a:path>
                          </a:pathLst>
                        </a:custGeom>
                        <a:ln w="9160">
                          <a:solidFill>
                            <a:srgbClr val="000000"/>
                          </a:solidFill>
                          <a:prstDash val="solid"/>
                        </a:ln>
                      </wps:spPr>
                      <wps:bodyPr wrap="square" lIns="0" tIns="0" rIns="0" bIns="0" rtlCol="0">
                        <a:prstTxWarp prst="textNoShape">
                          <a:avLst/>
                        </a:prstTxWarp>
                      </wps:bodyPr>
                    </wps:wsp>
                  </a:graphicData>
                </a:graphic>
              </wp:anchor>
            </w:drawing>
          </mc:Choice>
          <mc:Fallback>
            <w:pict>
              <v:shape w14:anchorId="28E0FA7B" id="Graphic 3" o:spid="_x0000_s1026" style="position:absolute;margin-left:32.85pt;margin-top:15.25pt;width:544.5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915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" path="m,l6915381,e" filled="f" strokeweight=".25444mm">
                <v:path arrowok="t"/>
                <w10:wrap type="topAndBottom" anchorx="page"/>
              </v:shape>
            </w:pict>
          </mc:Fallback>
        </mc:AlternateContent>
      </w:r>
    </w:p>
    <w:p w14:paraId="4DD83220" w14:textId="1C27A0CB" w:rsidR="00AC7988" w:rsidRDefault="00F207D8" w:rsidP="00F207D8">
      <w:pPr>
        <w:pStyle w:val="BodyText"/>
        <w:spacing w:before="140"/>
        <w:ind w:left="432" w:right="202" w:firstLine="14"/>
      </w:pPr>
      <w:r>
        <w:rPr>
          <w:color w:val="161616"/>
          <w:lang w:val="es-ES_tradnl"/>
        </w:rPr>
        <w:t>La Sección 21</w:t>
      </w:r>
      <w:r>
        <w:rPr>
          <w:color w:val="161616"/>
          <w:lang w:val="es-ES_tradnl"/>
        </w:rPr>
        <w:t xml:space="preserve">.3.3 de NFPA 72 de 2010 ha introducido el requisito de que los detectores de calor utilizados para iniciar el apagado de la energía del ascensor también llamen a los ascensores para el </w:t>
      </w:r>
      <w:r>
        <w:rPr>
          <w:color w:val="262626"/>
          <w:lang w:val="es-ES_tradnl"/>
        </w:rPr>
        <w:t xml:space="preserve">servicio de bomberos. </w:t>
      </w:r>
      <w:r>
        <w:rPr>
          <w:color w:val="161616"/>
          <w:lang w:val="es-ES_tradnl"/>
        </w:rPr>
        <w:t xml:space="preserve">Este cambio es inherentemente desafiante desde el punto de vista técnico y poco práctico. Las variables de control son </w:t>
      </w:r>
      <w:r>
        <w:rPr>
          <w:color w:val="262626"/>
          <w:lang w:val="es-ES_tradnl"/>
        </w:rPr>
        <w:t xml:space="preserve">tan </w:t>
      </w:r>
      <w:r>
        <w:rPr>
          <w:color w:val="161616"/>
          <w:lang w:val="es-ES_tradnl"/>
        </w:rPr>
        <w:t xml:space="preserve">numerosas que un diseño </w:t>
      </w:r>
      <w:r>
        <w:rPr>
          <w:color w:val="262626"/>
          <w:lang w:val="es-ES_tradnl"/>
        </w:rPr>
        <w:t xml:space="preserve">podría </w:t>
      </w:r>
      <w:r>
        <w:rPr>
          <w:color w:val="161616"/>
          <w:lang w:val="es-ES_tradnl"/>
        </w:rPr>
        <w:t xml:space="preserve">no funcionar según lo previsto debido a cambios mínimos en la presión del agua del </w:t>
      </w:r>
      <w:r>
        <w:rPr>
          <w:color w:val="262626"/>
          <w:lang w:val="es-ES_tradnl"/>
        </w:rPr>
        <w:t>aspersor</w:t>
      </w:r>
      <w:r>
        <w:rPr>
          <w:color w:val="161616"/>
          <w:lang w:val="es-ES_tradnl"/>
        </w:rPr>
        <w:t>, la temperatura ambiente, el tiempo</w:t>
      </w:r>
      <w:r>
        <w:rPr>
          <w:color w:val="363636"/>
          <w:lang w:val="es-ES_tradnl"/>
        </w:rPr>
        <w:t xml:space="preserve">, </w:t>
      </w:r>
      <w:r>
        <w:rPr>
          <w:color w:val="161616"/>
          <w:lang w:val="es-ES_tradnl"/>
        </w:rPr>
        <w:t>la tasa de propagaci</w:t>
      </w:r>
      <w:r>
        <w:rPr>
          <w:color w:val="161616"/>
          <w:lang w:val="es-ES_tradnl"/>
        </w:rPr>
        <w:t xml:space="preserve">ón del fuego y el </w:t>
      </w:r>
      <w:r>
        <w:rPr>
          <w:color w:val="262626"/>
          <w:lang w:val="es-ES_tradnl"/>
        </w:rPr>
        <w:t xml:space="preserve">estado </w:t>
      </w:r>
      <w:r>
        <w:rPr>
          <w:color w:val="161616"/>
          <w:lang w:val="es-ES_tradnl"/>
        </w:rPr>
        <w:t xml:space="preserve">físico del </w:t>
      </w:r>
      <w:r>
        <w:rPr>
          <w:color w:val="262626"/>
          <w:lang w:val="es-ES_tradnl"/>
        </w:rPr>
        <w:t xml:space="preserve">ascensor </w:t>
      </w:r>
      <w:r>
        <w:rPr>
          <w:color w:val="161616"/>
          <w:lang w:val="es-ES_tradnl"/>
        </w:rPr>
        <w:t xml:space="preserve">y las sensibilidades del </w:t>
      </w:r>
      <w:r w:rsidRPr="00F207D8">
        <w:rPr>
          <w:color w:val="161616"/>
          <w:spacing w:val="-2"/>
          <w:lang w:val="es-ES_tradnl"/>
        </w:rPr>
        <w:t xml:space="preserve">sistema. La dificultad </w:t>
      </w:r>
      <w:r w:rsidRPr="00F207D8">
        <w:rPr>
          <w:color w:val="262626"/>
          <w:spacing w:val="-2"/>
          <w:lang w:val="es-ES_tradnl"/>
        </w:rPr>
        <w:t xml:space="preserve">prevista </w:t>
      </w:r>
      <w:r w:rsidRPr="00F207D8">
        <w:rPr>
          <w:color w:val="161616"/>
          <w:spacing w:val="-2"/>
          <w:lang w:val="es-ES_tradnl"/>
        </w:rPr>
        <w:t xml:space="preserve">para ejecutar este </w:t>
      </w:r>
      <w:r w:rsidRPr="00F207D8">
        <w:rPr>
          <w:color w:val="262626"/>
          <w:spacing w:val="-2"/>
          <w:lang w:val="es-ES_tradnl"/>
        </w:rPr>
        <w:t xml:space="preserve">cambio de código </w:t>
      </w:r>
      <w:r w:rsidRPr="00F207D8">
        <w:rPr>
          <w:color w:val="161616"/>
          <w:spacing w:val="-2"/>
          <w:lang w:val="es-ES_tradnl"/>
        </w:rPr>
        <w:t xml:space="preserve">hace que </w:t>
      </w:r>
      <w:r w:rsidRPr="00F207D8">
        <w:rPr>
          <w:color w:val="161616"/>
          <w:spacing w:val="-2"/>
          <w:lang w:val="es-ES_tradnl"/>
        </w:rPr>
        <w:t>parezca un cambio erróneo. Esta conclusión está respaldada por el hecho de que NFPA 72 de 2013</w:t>
      </w:r>
      <w:r w:rsidRPr="00F207D8">
        <w:rPr>
          <w:color w:val="363636"/>
          <w:spacing w:val="-2"/>
          <w:lang w:val="es-ES_tradnl"/>
        </w:rPr>
        <w:t xml:space="preserve">, </w:t>
      </w:r>
      <w:r w:rsidRPr="00F207D8">
        <w:rPr>
          <w:color w:val="161616"/>
          <w:spacing w:val="-2"/>
          <w:lang w:val="es-ES_tradnl"/>
        </w:rPr>
        <w:t>que es</w:t>
      </w:r>
      <w:r w:rsidRPr="00F207D8">
        <w:rPr>
          <w:color w:val="161616"/>
          <w:spacing w:val="-2"/>
          <w:lang w:val="es-ES_tradnl"/>
        </w:rPr>
        <w:t xml:space="preserve">tá a punto de ser adoptada por los Códigos de Construcción de DC, ha eliminado este requisito. Sobre la base de los hechos presentados </w:t>
      </w:r>
      <w:r w:rsidRPr="00F207D8">
        <w:rPr>
          <w:color w:val="262626"/>
          <w:spacing w:val="-2"/>
          <w:lang w:val="es-ES_tradnl"/>
        </w:rPr>
        <w:t xml:space="preserve">anteriormente, </w:t>
      </w:r>
      <w:r w:rsidRPr="00F207D8">
        <w:rPr>
          <w:color w:val="161616"/>
          <w:spacing w:val="-2"/>
          <w:lang w:val="es-ES_tradnl"/>
        </w:rPr>
        <w:t xml:space="preserve">se </w:t>
      </w:r>
      <w:r w:rsidRPr="00F207D8">
        <w:rPr>
          <w:color w:val="262626"/>
          <w:spacing w:val="-2"/>
          <w:lang w:val="es-ES_tradnl"/>
        </w:rPr>
        <w:t>permitirá</w:t>
      </w:r>
      <w:r w:rsidRPr="00F207D8">
        <w:rPr>
          <w:color w:val="262626"/>
          <w:spacing w:val="-2"/>
          <w:lang w:val="es-ES_tradnl"/>
        </w:rPr>
        <w:t xml:space="preserve"> aprobar una modificación del código </w:t>
      </w:r>
      <w:r w:rsidRPr="00F207D8">
        <w:rPr>
          <w:color w:val="161616"/>
          <w:spacing w:val="-2"/>
          <w:lang w:val="es-ES_tradnl"/>
        </w:rPr>
        <w:t xml:space="preserve">de NFPA 72 </w:t>
      </w:r>
      <w:r w:rsidRPr="00F207D8">
        <w:rPr>
          <w:color w:val="262626"/>
          <w:spacing w:val="-2"/>
          <w:lang w:val="es-ES_tradnl"/>
        </w:rPr>
        <w:t xml:space="preserve">Secc. 21.3.3 </w:t>
      </w:r>
      <w:r w:rsidRPr="00F207D8">
        <w:rPr>
          <w:color w:val="161616"/>
          <w:spacing w:val="-2"/>
          <w:lang w:val="es-ES_tradnl"/>
        </w:rPr>
        <w:t xml:space="preserve">de 2010 para omitir la necesidad de que los dispositivos de inicio utilizados para </w:t>
      </w:r>
      <w:r w:rsidRPr="00F207D8">
        <w:rPr>
          <w:color w:val="262626"/>
          <w:spacing w:val="-2"/>
          <w:lang w:val="es-ES_tradnl"/>
        </w:rPr>
        <w:t xml:space="preserve">interrumpir </w:t>
      </w:r>
      <w:r w:rsidRPr="00F207D8">
        <w:rPr>
          <w:color w:val="161616"/>
          <w:spacing w:val="-2"/>
          <w:lang w:val="es-ES_tradnl"/>
        </w:rPr>
        <w:t>la energía del ascensor</w:t>
      </w:r>
      <w:r w:rsidRPr="00F207D8">
        <w:rPr>
          <w:color w:val="494949"/>
          <w:spacing w:val="-2"/>
          <w:lang w:val="es-ES_tradnl"/>
        </w:rPr>
        <w:t xml:space="preserve"> </w:t>
      </w:r>
      <w:r w:rsidRPr="00F207D8">
        <w:rPr>
          <w:color w:val="161616"/>
          <w:spacing w:val="-2"/>
          <w:lang w:val="es-ES_tradnl"/>
        </w:rPr>
        <w:t>también se u</w:t>
      </w:r>
      <w:r w:rsidRPr="00F207D8">
        <w:rPr>
          <w:color w:val="161616"/>
          <w:spacing w:val="-2"/>
          <w:lang w:val="es-ES_tradnl"/>
        </w:rPr>
        <w:t xml:space="preserve">tilicen para llamar el ascensor para el </w:t>
      </w:r>
      <w:r w:rsidRPr="00F207D8">
        <w:rPr>
          <w:color w:val="363636"/>
          <w:spacing w:val="-2"/>
          <w:lang w:val="es-ES_tradnl"/>
        </w:rPr>
        <w:t>se</w:t>
      </w:r>
      <w:r w:rsidRPr="00F207D8">
        <w:rPr>
          <w:color w:val="161616"/>
          <w:spacing w:val="-2"/>
          <w:lang w:val="es-ES_tradnl"/>
        </w:rPr>
        <w:t>rvicio de bomberos</w:t>
      </w:r>
      <w:r w:rsidRPr="00F207D8">
        <w:rPr>
          <w:color w:val="494949"/>
          <w:spacing w:val="-2"/>
          <w:lang w:val="es-ES_tradnl"/>
        </w:rPr>
        <w:t>.</w:t>
      </w:r>
    </w:p>
    <w:p w14:paraId="7A07CCEA" w14:textId="2D2CA87F" w:rsidR="00AC7988" w:rsidRPr="00F207D8" w:rsidRDefault="00F207D8" w:rsidP="00F207D8">
      <w:pPr>
        <w:pStyle w:val="BodyText"/>
        <w:spacing w:before="175"/>
        <w:ind w:left="423" w:right="207" w:firstLine="3"/>
        <w:rPr>
          <w:spacing w:val="-2"/>
        </w:rPr>
      </w:pPr>
      <w:r w:rsidRPr="00F207D8">
        <w:rPr>
          <w:color w:val="161616"/>
          <w:spacing w:val="-2"/>
          <w:lang w:val="es-ES_tradnl"/>
        </w:rPr>
        <w:t xml:space="preserve">En los casos en que los inspectores de ascensores estén </w:t>
      </w:r>
      <w:r w:rsidRPr="00F207D8">
        <w:rPr>
          <w:color w:val="262626"/>
          <w:spacing w:val="-2"/>
          <w:lang w:val="es-ES_tradnl"/>
        </w:rPr>
        <w:t>realizan</w:t>
      </w:r>
      <w:r w:rsidRPr="00F207D8">
        <w:rPr>
          <w:color w:val="262626"/>
          <w:spacing w:val="-2"/>
          <w:lang w:val="es-ES_tradnl"/>
        </w:rPr>
        <w:t xml:space="preserve">do </w:t>
      </w:r>
      <w:r w:rsidRPr="00F207D8">
        <w:rPr>
          <w:color w:val="161616"/>
          <w:spacing w:val="-2"/>
          <w:lang w:val="es-ES_tradnl"/>
        </w:rPr>
        <w:t xml:space="preserve">inspecciones de ascensores relacionadas con el </w:t>
      </w:r>
      <w:r w:rsidRPr="00F207D8">
        <w:rPr>
          <w:color w:val="262626"/>
          <w:spacing w:val="-2"/>
          <w:lang w:val="es-ES_tradnl"/>
        </w:rPr>
        <w:t>servicio</w:t>
      </w:r>
      <w:r w:rsidRPr="00F207D8">
        <w:rPr>
          <w:color w:val="161616"/>
          <w:spacing w:val="-2"/>
          <w:lang w:val="es-ES_tradnl"/>
        </w:rPr>
        <w:t xml:space="preserve"> de bomberos</w:t>
      </w:r>
      <w:r w:rsidRPr="00F207D8">
        <w:rPr>
          <w:color w:val="494949"/>
          <w:spacing w:val="-2"/>
          <w:lang w:val="es-ES_tradnl"/>
        </w:rPr>
        <w:t xml:space="preserve">, </w:t>
      </w:r>
      <w:r w:rsidRPr="00F207D8">
        <w:rPr>
          <w:color w:val="161616"/>
          <w:spacing w:val="-2"/>
          <w:lang w:val="es-ES_tradnl"/>
        </w:rPr>
        <w:t>la</w:t>
      </w:r>
      <w:r w:rsidRPr="00F207D8">
        <w:rPr>
          <w:color w:val="363636"/>
          <w:spacing w:val="-2"/>
          <w:lang w:val="es-ES_tradnl"/>
        </w:rPr>
        <w:t xml:space="preserve"> </w:t>
      </w:r>
      <w:r w:rsidRPr="00F207D8">
        <w:rPr>
          <w:color w:val="161616"/>
          <w:spacing w:val="-2"/>
          <w:lang w:val="es-ES_tradnl"/>
        </w:rPr>
        <w:t xml:space="preserve">inspección </w:t>
      </w:r>
      <w:r w:rsidRPr="00F207D8">
        <w:rPr>
          <w:color w:val="262626"/>
          <w:spacing w:val="-2"/>
          <w:lang w:val="es-ES_tradnl"/>
        </w:rPr>
        <w:t xml:space="preserve">no </w:t>
      </w:r>
      <w:r w:rsidRPr="00F207D8">
        <w:rPr>
          <w:color w:val="262626"/>
          <w:spacing w:val="-2"/>
          <w:lang w:val="es-ES_tradnl"/>
        </w:rPr>
        <w:t xml:space="preserve">incluirá </w:t>
      </w:r>
      <w:r w:rsidRPr="00F207D8">
        <w:rPr>
          <w:color w:val="161616"/>
          <w:spacing w:val="-2"/>
          <w:lang w:val="es-ES_tradnl"/>
        </w:rPr>
        <w:t xml:space="preserve">la necesidad de detectores de calor de </w:t>
      </w:r>
      <w:r w:rsidRPr="00F207D8">
        <w:rPr>
          <w:color w:val="262626"/>
          <w:spacing w:val="-2"/>
          <w:lang w:val="es-ES_tradnl"/>
        </w:rPr>
        <w:t xml:space="preserve">apagado </w:t>
      </w:r>
      <w:r w:rsidRPr="00F207D8">
        <w:rPr>
          <w:color w:val="161616"/>
          <w:spacing w:val="-2"/>
          <w:lang w:val="es-ES_tradnl"/>
        </w:rPr>
        <w:t>eléctrico para llamar a los ascensores</w:t>
      </w:r>
      <w:r w:rsidRPr="00F207D8">
        <w:rPr>
          <w:color w:val="363636"/>
          <w:spacing w:val="-2"/>
          <w:lang w:val="es-ES_tradnl"/>
        </w:rPr>
        <w:t xml:space="preserve">. </w:t>
      </w:r>
      <w:r w:rsidRPr="00F207D8">
        <w:rPr>
          <w:color w:val="161616"/>
          <w:spacing w:val="-2"/>
          <w:lang w:val="es-ES_tradnl"/>
        </w:rPr>
        <w:t xml:space="preserve">Los inspectores </w:t>
      </w:r>
      <w:r w:rsidRPr="00F207D8">
        <w:rPr>
          <w:color w:val="262626"/>
          <w:spacing w:val="-2"/>
          <w:lang w:val="es-ES_tradnl"/>
        </w:rPr>
        <w:t xml:space="preserve">realizarán </w:t>
      </w:r>
      <w:r w:rsidRPr="00F207D8">
        <w:rPr>
          <w:color w:val="161616"/>
          <w:spacing w:val="-2"/>
          <w:lang w:val="es-ES_tradnl"/>
        </w:rPr>
        <w:t>las inspeccio</w:t>
      </w:r>
      <w:r w:rsidRPr="00F207D8">
        <w:rPr>
          <w:color w:val="161616"/>
          <w:spacing w:val="-2"/>
          <w:lang w:val="es-ES_tradnl"/>
        </w:rPr>
        <w:t xml:space="preserve">nes y </w:t>
      </w:r>
      <w:r w:rsidRPr="00F207D8">
        <w:rPr>
          <w:color w:val="262626"/>
          <w:spacing w:val="-2"/>
          <w:lang w:val="es-ES_tradnl"/>
        </w:rPr>
        <w:t xml:space="preserve">asesorarán </w:t>
      </w:r>
      <w:r w:rsidRPr="00F207D8">
        <w:rPr>
          <w:color w:val="161616"/>
          <w:spacing w:val="-2"/>
          <w:lang w:val="es-ES_tradnl"/>
        </w:rPr>
        <w:t>a los solicitantes sobre la necesidad de modificación del código</w:t>
      </w:r>
      <w:r w:rsidRPr="00F207D8">
        <w:rPr>
          <w:color w:val="363636"/>
          <w:spacing w:val="-2"/>
          <w:lang w:val="es-ES_tradnl"/>
        </w:rPr>
        <w:t xml:space="preserve">, </w:t>
      </w:r>
      <w:r w:rsidRPr="00F207D8">
        <w:rPr>
          <w:color w:val="161616"/>
          <w:spacing w:val="-2"/>
          <w:lang w:val="es-ES_tradnl"/>
        </w:rPr>
        <w:t>en caso de que no se presente ninguna</w:t>
      </w:r>
      <w:r w:rsidRPr="00F207D8">
        <w:rPr>
          <w:color w:val="363636"/>
          <w:spacing w:val="-2"/>
          <w:lang w:val="es-ES_tradnl"/>
        </w:rPr>
        <w:t xml:space="preserve">. </w:t>
      </w:r>
      <w:r w:rsidRPr="00F207D8">
        <w:rPr>
          <w:color w:val="161616"/>
          <w:spacing w:val="-2"/>
          <w:lang w:val="es-ES_tradnl"/>
        </w:rPr>
        <w:t xml:space="preserve">Esto </w:t>
      </w:r>
      <w:r w:rsidRPr="00F207D8">
        <w:rPr>
          <w:color w:val="262626"/>
          <w:spacing w:val="-2"/>
          <w:lang w:val="es-ES_tradnl"/>
        </w:rPr>
        <w:t xml:space="preserve">será </w:t>
      </w:r>
      <w:r w:rsidRPr="00F207D8">
        <w:rPr>
          <w:color w:val="161616"/>
          <w:spacing w:val="-2"/>
          <w:lang w:val="es-ES_tradnl"/>
        </w:rPr>
        <w:t xml:space="preserve">adecuado hasta que se </w:t>
      </w:r>
      <w:r w:rsidRPr="00F207D8">
        <w:rPr>
          <w:color w:val="262626"/>
          <w:spacing w:val="-2"/>
          <w:lang w:val="es-ES_tradnl"/>
        </w:rPr>
        <w:t xml:space="preserve">adopte </w:t>
      </w:r>
      <w:r w:rsidRPr="00F207D8">
        <w:rPr>
          <w:color w:val="161616"/>
          <w:spacing w:val="-2"/>
          <w:lang w:val="es-ES_tradnl"/>
        </w:rPr>
        <w:t xml:space="preserve">la nueva edición </w:t>
      </w:r>
      <w:r w:rsidRPr="00F207D8">
        <w:rPr>
          <w:color w:val="262626"/>
          <w:spacing w:val="-2"/>
          <w:lang w:val="es-ES_tradnl"/>
        </w:rPr>
        <w:t xml:space="preserve">de </w:t>
      </w:r>
      <w:r w:rsidRPr="00F207D8">
        <w:rPr>
          <w:color w:val="161616"/>
          <w:spacing w:val="-2"/>
          <w:lang w:val="es-ES_tradnl"/>
        </w:rPr>
        <w:t>NFPA 72 como referencia en futuros códigos adoptados para D</w:t>
      </w:r>
      <w:r w:rsidRPr="00F207D8">
        <w:rPr>
          <w:color w:val="363636"/>
          <w:spacing w:val="-2"/>
          <w:lang w:val="es-ES_tradnl"/>
        </w:rPr>
        <w:t>.</w:t>
      </w:r>
      <w:r w:rsidRPr="00F207D8">
        <w:rPr>
          <w:color w:val="161616"/>
          <w:spacing w:val="-2"/>
          <w:lang w:val="es-ES_tradnl"/>
        </w:rPr>
        <w:t xml:space="preserve">C. </w:t>
      </w:r>
      <w:r w:rsidRPr="00F207D8">
        <w:rPr>
          <w:color w:val="262626"/>
          <w:spacing w:val="-2"/>
          <w:lang w:val="es-ES_tradnl"/>
        </w:rPr>
        <w:t xml:space="preserve">Al </w:t>
      </w:r>
      <w:r w:rsidRPr="00F207D8">
        <w:rPr>
          <w:color w:val="161616"/>
          <w:spacing w:val="-2"/>
          <w:lang w:val="es-ES_tradnl"/>
        </w:rPr>
        <w:t>final, si las inspecciones son satis</w:t>
      </w:r>
      <w:r w:rsidRPr="00F207D8">
        <w:rPr>
          <w:color w:val="161616"/>
          <w:spacing w:val="-2"/>
          <w:lang w:val="es-ES_tradnl"/>
        </w:rPr>
        <w:t>factorias, se otorgarán aprobaciones condicionales</w:t>
      </w:r>
      <w:r w:rsidRPr="00F207D8">
        <w:rPr>
          <w:color w:val="161616"/>
          <w:spacing w:val="-2"/>
          <w:lang w:val="es-ES_tradnl"/>
        </w:rPr>
        <w:t xml:space="preserve"> y se eliminará </w:t>
      </w:r>
      <w:r w:rsidRPr="00F207D8">
        <w:rPr>
          <w:color w:val="262626"/>
          <w:spacing w:val="-2"/>
          <w:lang w:val="es-ES_tradnl"/>
        </w:rPr>
        <w:t xml:space="preserve">la condición </w:t>
      </w:r>
      <w:r w:rsidRPr="00F207D8">
        <w:rPr>
          <w:color w:val="161616"/>
          <w:spacing w:val="-2"/>
          <w:lang w:val="es-ES_tradnl"/>
        </w:rPr>
        <w:t>con la prueba de la ap</w:t>
      </w:r>
      <w:r w:rsidRPr="00F207D8">
        <w:rPr>
          <w:color w:val="161616"/>
          <w:spacing w:val="-2"/>
          <w:lang w:val="es-ES_tradnl"/>
        </w:rPr>
        <w:t>robación de la modificación del código.</w:t>
      </w:r>
    </w:p>
    <w:p w14:paraId="184D1E4D" w14:textId="77777777" w:rsidR="00AC7988" w:rsidRDefault="00F207D8">
      <w:pPr>
        <w:tabs>
          <w:tab w:val="left" w:pos="1419"/>
        </w:tabs>
        <w:spacing w:line="627" w:lineRule="exact"/>
        <w:ind w:left="466"/>
        <w:rPr>
          <w:color w:val="161616"/>
          <w:u w:val="single"/>
        </w:rPr>
      </w:pPr>
      <w:r>
        <w:rPr>
          <w:color w:val="161616"/>
          <w:u w:val="single"/>
          <w:lang w:val="es-ES_tradnl"/>
        </w:rPr>
        <w:t>[FIRMA]</w:t>
      </w:r>
    </w:p>
    <w:p w14:paraId="61903C06" w14:textId="77777777" w:rsidR="00AC7988" w:rsidRDefault="00F207D8">
      <w:pPr>
        <w:tabs>
          <w:tab w:val="left" w:pos="9410"/>
        </w:tabs>
        <w:spacing w:line="222" w:lineRule="exact"/>
        <w:ind w:left="415"/>
      </w:pPr>
      <w:r>
        <w:rPr>
          <w:color w:val="161616"/>
          <w:lang w:val="es-ES_tradnl"/>
        </w:rPr>
        <w:t>Lynn Underwood</w:t>
      </w:r>
      <w:r>
        <w:rPr>
          <w:color w:val="363636"/>
          <w:lang w:val="es-ES_tradnl"/>
        </w:rPr>
        <w:t xml:space="preserve">, </w:t>
      </w:r>
      <w:r>
        <w:rPr>
          <w:color w:val="262626"/>
          <w:lang w:val="es-ES_tradnl"/>
        </w:rPr>
        <w:t>MCP</w:t>
      </w:r>
      <w:r>
        <w:rPr>
          <w:color w:val="262626"/>
          <w:lang w:val="es-ES_tradnl"/>
        </w:rPr>
        <w:tab/>
      </w:r>
      <w:r>
        <w:rPr>
          <w:color w:val="161616"/>
          <w:lang w:val="es-ES_tradnl"/>
        </w:rPr>
        <w:t>1</w:t>
      </w:r>
      <w:r>
        <w:rPr>
          <w:color w:val="363636"/>
          <w:lang w:val="es-ES_tradnl"/>
        </w:rPr>
        <w:t xml:space="preserve">1 de enero de </w:t>
      </w:r>
      <w:r>
        <w:rPr>
          <w:color w:val="262626"/>
          <w:lang w:val="es-ES_tradnl"/>
        </w:rPr>
        <w:t>2018</w:t>
      </w:r>
    </w:p>
    <w:p w14:paraId="755B9A07" w14:textId="77777777" w:rsidR="00AC7988" w:rsidRDefault="00F207D8">
      <w:pPr>
        <w:spacing w:before="7"/>
        <w:ind w:left="420"/>
        <w:rPr>
          <w:color w:val="262626"/>
        </w:rPr>
      </w:pPr>
      <w:r>
        <w:rPr>
          <w:color w:val="363636"/>
          <w:lang w:val="es-ES_tradnl"/>
        </w:rPr>
        <w:t>D</w:t>
      </w:r>
      <w:r>
        <w:rPr>
          <w:color w:val="161616"/>
          <w:lang w:val="es-ES_tradnl"/>
        </w:rPr>
        <w:t>ire</w:t>
      </w:r>
      <w:r>
        <w:rPr>
          <w:color w:val="363636"/>
          <w:lang w:val="es-ES_tradnl"/>
        </w:rPr>
        <w:t>cto</w:t>
      </w:r>
      <w:r>
        <w:rPr>
          <w:color w:val="161616"/>
          <w:lang w:val="es-ES_tradnl"/>
        </w:rPr>
        <w:t xml:space="preserve">r de </w:t>
      </w:r>
      <w:r>
        <w:rPr>
          <w:color w:val="262626"/>
          <w:lang w:val="es-ES_tradnl"/>
        </w:rPr>
        <w:t>construcción, DCRA</w:t>
      </w:r>
    </w:p>
    <w:p w14:paraId="5630F54E" w14:textId="77777777" w:rsidR="00AC7988" w:rsidRDefault="00AC7988">
      <w:pPr>
        <w:spacing w:before="7"/>
        <w:ind w:left="420"/>
      </w:pPr>
    </w:p>
    <w:p w14:paraId="2F3F876E" w14:textId="77777777" w:rsidR="00AC7988" w:rsidRDefault="00F207D8">
      <w:pPr>
        <w:spacing w:before="7"/>
        <w:ind w:left="420"/>
        <w:jc w:val="center"/>
      </w:pPr>
      <w:r>
        <w:rPr>
          <w:noProof/>
        </w:rPr>
        <w:drawing>
          <wp:inline distT="0" distB="0" distL="0" distR="0" wp14:anchorId="5B8911F4" wp14:editId="348294DC">
            <wp:extent cx="6610350" cy="75581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6770069" cy="774073"/>
                    </a:xfrm>
                    <a:prstGeom prst="rect">
                      <a:avLst/>
                    </a:prstGeom>
                  </pic:spPr>
                </pic:pic>
              </a:graphicData>
            </a:graphic>
          </wp:inline>
        </w:drawing>
      </w:r>
    </w:p>
    <w:sectPr w:rsidR="00AC7988">
      <w:type w:val="continuous"/>
      <w:pgSz w:w="12240" w:h="15840"/>
      <w:pgMar w:top="340" w:right="5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999"/>
    <w:multiLevelType w:val="hybridMultilevel"/>
    <w:tmpl w:val="4580BC14"/>
    <w:lvl w:ilvl="0" w:tplc="EC9CBBFE">
      <w:numFmt w:val="bullet"/>
      <w:lvlText w:val="•"/>
      <w:lvlJc w:val="left"/>
      <w:pPr>
        <w:ind w:left="1200" w:hanging="364"/>
      </w:pPr>
      <w:rPr>
        <w:rFonts w:ascii="Arial" w:eastAsia="Arial" w:hAnsi="Arial" w:cs="Arial" w:hint="default"/>
        <w:spacing w:val="0"/>
        <w:w w:val="104"/>
        <w:sz w:val="24"/>
        <w:szCs w:val="24"/>
        <w:lang w:val="en-US" w:eastAsia="en-US" w:bidi="ar-SA"/>
      </w:rPr>
    </w:lvl>
    <w:lvl w:ilvl="1" w:tplc="515A6AE6">
      <w:numFmt w:val="bullet"/>
      <w:lvlText w:val="•"/>
      <w:lvlJc w:val="left"/>
      <w:pPr>
        <w:ind w:left="2228" w:hanging="364"/>
      </w:pPr>
      <w:rPr>
        <w:rFonts w:hint="default"/>
        <w:lang w:val="en-US" w:eastAsia="en-US" w:bidi="ar-SA"/>
      </w:rPr>
    </w:lvl>
    <w:lvl w:ilvl="2" w:tplc="6A06028A">
      <w:numFmt w:val="bullet"/>
      <w:lvlText w:val="•"/>
      <w:lvlJc w:val="left"/>
      <w:pPr>
        <w:ind w:left="3256" w:hanging="364"/>
      </w:pPr>
      <w:rPr>
        <w:rFonts w:hint="default"/>
        <w:lang w:val="en-US" w:eastAsia="en-US" w:bidi="ar-SA"/>
      </w:rPr>
    </w:lvl>
    <w:lvl w:ilvl="3" w:tplc="A3B6297E">
      <w:numFmt w:val="bullet"/>
      <w:lvlText w:val="•"/>
      <w:lvlJc w:val="left"/>
      <w:pPr>
        <w:ind w:left="4284" w:hanging="364"/>
      </w:pPr>
      <w:rPr>
        <w:rFonts w:hint="default"/>
        <w:lang w:val="en-US" w:eastAsia="en-US" w:bidi="ar-SA"/>
      </w:rPr>
    </w:lvl>
    <w:lvl w:ilvl="4" w:tplc="1BE8F8AA">
      <w:numFmt w:val="bullet"/>
      <w:lvlText w:val="•"/>
      <w:lvlJc w:val="left"/>
      <w:pPr>
        <w:ind w:left="5312" w:hanging="364"/>
      </w:pPr>
      <w:rPr>
        <w:rFonts w:hint="default"/>
        <w:lang w:val="en-US" w:eastAsia="en-US" w:bidi="ar-SA"/>
      </w:rPr>
    </w:lvl>
    <w:lvl w:ilvl="5" w:tplc="594A0150">
      <w:numFmt w:val="bullet"/>
      <w:lvlText w:val="•"/>
      <w:lvlJc w:val="left"/>
      <w:pPr>
        <w:ind w:left="6340" w:hanging="364"/>
      </w:pPr>
      <w:rPr>
        <w:rFonts w:hint="default"/>
        <w:lang w:val="en-US" w:eastAsia="en-US" w:bidi="ar-SA"/>
      </w:rPr>
    </w:lvl>
    <w:lvl w:ilvl="6" w:tplc="CEC013D4">
      <w:numFmt w:val="bullet"/>
      <w:lvlText w:val="•"/>
      <w:lvlJc w:val="left"/>
      <w:pPr>
        <w:ind w:left="7368" w:hanging="364"/>
      </w:pPr>
      <w:rPr>
        <w:rFonts w:hint="default"/>
        <w:lang w:val="en-US" w:eastAsia="en-US" w:bidi="ar-SA"/>
      </w:rPr>
    </w:lvl>
    <w:lvl w:ilvl="7" w:tplc="331060C4">
      <w:numFmt w:val="bullet"/>
      <w:lvlText w:val="•"/>
      <w:lvlJc w:val="left"/>
      <w:pPr>
        <w:ind w:left="8396" w:hanging="364"/>
      </w:pPr>
      <w:rPr>
        <w:rFonts w:hint="default"/>
        <w:lang w:val="en-US" w:eastAsia="en-US" w:bidi="ar-SA"/>
      </w:rPr>
    </w:lvl>
    <w:lvl w:ilvl="8" w:tplc="A9C68870">
      <w:numFmt w:val="bullet"/>
      <w:lvlText w:val="•"/>
      <w:lvlJc w:val="left"/>
      <w:pPr>
        <w:ind w:left="9424" w:hanging="36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88"/>
    <w:rsid w:val="00AC7988"/>
    <w:rsid w:val="00F207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D146"/>
  <w15:docId w15:val="{6B9AF9E0-B229-46C8-A48F-72E2DE1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52" w:line="1150" w:lineRule="exact"/>
      <w:ind w:left="366" w:right="691"/>
      <w:jc w:val="center"/>
    </w:pPr>
    <w:rPr>
      <w:b/>
      <w:bCs/>
      <w:sz w:val="102"/>
      <w:szCs w:val="102"/>
    </w:rPr>
  </w:style>
  <w:style w:type="paragraph" w:styleId="ListParagraph">
    <w:name w:val="List Paragraph"/>
    <w:basedOn w:val="Normal"/>
    <w:uiPriority w:val="1"/>
    <w:qFormat/>
    <w:pPr>
      <w:spacing w:before="83"/>
      <w:ind w:left="1175" w:hanging="36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581</Words>
  <Characters>3198</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KMBT_C654e-20180129131140</dc:title>
  <cp:lastModifiedBy>dluque</cp:lastModifiedBy>
  <cp:revision>3</cp:revision>
  <dcterms:created xsi:type="dcterms:W3CDTF">2024-07-31T14:38:00Z</dcterms:created>
  <dcterms:modified xsi:type="dcterms:W3CDTF">2024-08-12T16:07:00Z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KMBT_C654e</vt:lpwstr>
  </property>
  <property fmtid="{D5CDD505-2E9C-101B-9397-08002B2CF9AE}" pid="4" name="LastSaved">
    <vt:filetime>2024-07-31T00:00:00Z</vt:filetime>
  </property>
  <property fmtid="{D5CDD505-2E9C-101B-9397-08002B2CF9AE}" pid="5" name="Producer">
    <vt:lpwstr>KONICA MINOLTA bizhub C654e</vt:lpwstr>
  </property>
</Properties>
</file>